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2-samuel-11"/>
    <w:p>
      <w:pPr>
        <w:pStyle w:val="Heading1"/>
      </w:pPr>
      <w:r>
        <w:t xml:space="preserve">Homiletics Analysis: 2 Samuel 11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Second Samuel 11 is the pivot chapter of David’s reign — the moment the narrative’s long arc bends downward. The chapter opens with a structural signal the reader is meant to feel: it is the time when kings go to war, and David sends Joab while he remains in Jerusalem. From his rooftop, David sees Bathsheba bathing, inquires about her, and is told explicitly that she is married — the wife of Uriah the Hittite. He sends for her anyway, sleeps with her, and she conceives. David’s first attempted cover-up is social: summon Uriah from the front, give him opportunity to go home to his wife, and let him naturally obscure the child’s paternity. Uriah refuses — twice — citing the solidarity of the ark and Israel’s armies in the field. He will not take ease while his comrades are at war. David’s second attempted cover-up is chemical: get Uriah drunk enough to abandon his principles and go home. Uriah still refuses. David’s third and final attempted cover-up is lethal: he sends Uriah back to Joab carrying his own death warrant — a letter ordering Joab to place Uriah in the heat of battle and then withdraw, leaving him to die. Joab complies. Uriah dies, along with other Israelite soldiers. Joab sends a careful report to David. David receives the news, offers a callous pastoral word to Joab’s messenger (</w:t>
      </w:r>
      <w:r>
        <w:t xml:space="preserve">“the sword devours one as well as another”</w:t>
      </w:r>
      <w:r>
        <w:t xml:space="preserve">), and takes Bathsheba as his wife after her mourning period concludes. The chapter closes with the most devastating sentence in the David narrative:</w:t>
      </w:r>
      <w:r>
        <w:t xml:space="preserve"> </w:t>
      </w:r>
      <w:r>
        <w:t xml:space="preserve">“But the thing that David had done displeased the LORD.”</w:t>
      </w:r>
    </w:p>
    <w:p>
      <w:pPr>
        <w:pStyle w:val="BodyText"/>
      </w:pPr>
      <w:r>
        <w:rPr>
          <w:b/>
          <w:bCs/>
        </w:rPr>
        <w:t xml:space="preserve">This Text — Intent:</w:t>
      </w:r>
    </w:p>
    <w:p>
      <w:pPr>
        <w:pStyle w:val="BodyText"/>
      </w:pPr>
      <w:r>
        <w:t xml:space="preserve">God’s intent through this passage is to expose the full anatomy of sin — not as a single moment of weakness but as a cascading, self-compounding system of desire, deception, and destruction. The text is structured to indict, not merely narrate. The reader is meant to see exactly what David saw and chose, exactly what each cover-up cost, exactly how far a man after God’s own heart can fall when unchecked desire meets unchecked power — and to feel the weight of that final divine verdict without any relief or mitigation. God is calling the reader to reckon with the internal logic of sin: how it begins in small disobediences (staying home, looking, inquiring, sending), how it recruits others into its machinery, and how it ends by destroying the innocent. The chapter is a warning, a mirror, and a theological verdict. Nothing is excused. Everything is seen.</w:t>
      </w:r>
    </w:p>
    <w:p>
      <w:r>
        <w:pict>
          <v:rect style="width:0;height:1.5pt" o:hralign="center" o:hrstd="t" o:hr="t"/>
        </w:pict>
      </w:r>
    </w:p>
    <w:p>
      <w:pPr>
        <w:pStyle w:val="FirstParagraph"/>
      </w:pPr>
      <w:r>
        <w:rPr>
          <w:b/>
          <w:bCs/>
        </w:rPr>
        <w:t xml:space="preserve">Subject Sentence:</w:t>
      </w:r>
      <w:r>
        <w:t xml:space="preserve"> </w:t>
      </w:r>
      <w:r>
        <w:t xml:space="preserve">David’s catastrophic fall — the anatomy of unchecked desire, compounding sin, and divine displeasure.</w:t>
      </w:r>
    </w:p>
    <w:p>
      <w:r>
        <w:pict>
          <v:rect style="width:0;height:1.5pt" o:hralign="center" o:hrstd="t" o:hr="t"/>
        </w:pict>
      </w:r>
    </w:p>
    <w:p>
      <w:pPr>
        <w:pStyle w:val="FirstParagraph"/>
      </w:pPr>
      <w:r>
        <w:rPr>
          <w:b/>
          <w:bCs/>
        </w:rPr>
        <w:t xml:space="preserve">Primary Claim:</w:t>
      </w:r>
      <w:r>
        <w:t xml:space="preserve"> </w:t>
      </w:r>
      <w:r>
        <w:t xml:space="preserve">God exposes through David’s fall the full internal logic of sin — how desire unchecked by fear of God escalates through deception into destruction of the innocent — so that the reader will see sin’s true nature, refuse its initial steps, and feel the weight of standing under God’s unsleeping gaze.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Was Bathsheba complicit?</w:t>
      </w:r>
      <w:r>
        <w:t xml:space="preserve"> </w:t>
      </w:r>
      <w:r>
        <w:t xml:space="preserve">A recurring interpretive question is whether Bathsheba bore moral responsibility for what occurred. Some readings — ancient and modern — suggest she bathed in view of the palace intentionally, making the encounter partly seductive on her part. The text does not support this. The narrative assigns all agency to David: he</w:t>
      </w:r>
      <w:r>
        <w:t xml:space="preserve"> </w:t>
      </w:r>
      <w:r>
        <w:rPr>
          <w:i/>
          <w:iCs/>
        </w:rPr>
        <w:t xml:space="preserve">saw</w:t>
      </w:r>
      <w:r>
        <w:t xml:space="preserve">, he</w:t>
      </w:r>
      <w:r>
        <w:t xml:space="preserve"> </w:t>
      </w:r>
      <w:r>
        <w:rPr>
          <w:i/>
          <w:iCs/>
        </w:rPr>
        <w:t xml:space="preserve">inquired</w:t>
      </w:r>
      <w:r>
        <w:t xml:space="preserve">, he</w:t>
      </w:r>
      <w:r>
        <w:t xml:space="preserve"> </w:t>
      </w:r>
      <w:r>
        <w:rPr>
          <w:i/>
          <w:iCs/>
        </w:rPr>
        <w:t xml:space="preserve">sent</w:t>
      </w:r>
      <w:r>
        <w:t xml:space="preserve">, he</w:t>
      </w:r>
      <w:r>
        <w:t xml:space="preserve"> </w:t>
      </w:r>
      <w:r>
        <w:rPr>
          <w:i/>
          <w:iCs/>
        </w:rPr>
        <w:t xml:space="preserve">took</w:t>
      </w:r>
      <w:r>
        <w:t xml:space="preserve">. Bathsheba is given no interiority, no dialogue of consent or initiative, and no moral evaluation by the narrator. The text’s silence about her motivation is not ambiguity — it is a deliberate focus of blame on the one who had power, knowledge, and responsibility. Uriah’s death was entirely without her agency. Reformed exposition must resist any reading that distributes the text’s moral weight toward her. The text condemns David, full stop.</w:t>
      </w:r>
    </w:p>
    <w:p>
      <w:pPr>
        <w:pStyle w:val="BodyText"/>
      </w:pPr>
      <w:r>
        <w:rPr>
          <w:b/>
          <w:bCs/>
        </w:rPr>
        <w:t xml:space="preserve">Was this adultery or rape?</w:t>
      </w:r>
      <w:r>
        <w:t xml:space="preserve"> </w:t>
      </w:r>
      <w:r>
        <w:t xml:space="preserve">A more recent interpretive discussion — particularly in feminist scholarship — argues that given the power differential between a king and a subject woman, the encounter cannot be read as consensual in any meaningful sense and should be classified as rape. The Hebrew text uses the verb</w:t>
      </w:r>
      <w:r>
        <w:t xml:space="preserve"> </w:t>
      </w:r>
      <w:r>
        <w:rPr>
          <w:i/>
          <w:iCs/>
        </w:rPr>
        <w:t xml:space="preserve">שָׁלַח</w:t>
      </w:r>
      <w:r>
        <w:t xml:space="preserve"> </w:t>
      </w:r>
      <w:r>
        <w:t xml:space="preserve">(</w:t>
      </w:r>
      <w:r>
        <w:t xml:space="preserve">“he sent”</w:t>
      </w:r>
      <w:r>
        <w:t xml:space="preserve">) and</w:t>
      </w:r>
      <w:r>
        <w:t xml:space="preserve"> </w:t>
      </w:r>
      <w:r>
        <w:rPr>
          <w:i/>
          <w:iCs/>
        </w:rPr>
        <w:t xml:space="preserve">לָקַח</w:t>
      </w:r>
      <w:r>
        <w:t xml:space="preserve"> </w:t>
      </w:r>
      <w:r>
        <w:t xml:space="preserve">(</w:t>
      </w:r>
      <w:r>
        <w:t xml:space="preserve">“he took”</w:t>
      </w:r>
      <w:r>
        <w:t xml:space="preserve">) — language of royal initiative and acquisition — without any word for Bathsheba’s response, consent, or refusal. This reading is worth acknowledging. The text does not record resistance, but it also records no willing participation. The power differential is real, David’s unilateral agency is absolute, and the moral gravity assigned entirely to David by the narrator aligns with a reading in which Bathsheba had little effective capacity to refuse. Reformed exposition need not resolve this debate definitively to preach the text faithfully — the text’s moral focus remains David’s abuse of power and violation of God’s law, and that verdict stands regardless of how the spectrum of coercion is labeled.</w:t>
      </w:r>
    </w:p>
    <w:p>
      <w:pPr>
        <w:pStyle w:val="BodyText"/>
      </w:pPr>
      <w:r>
        <w:rPr>
          <w:b/>
          <w:bCs/>
        </w:rPr>
        <w:t xml:space="preserve">Is this passage primarily about sexual sin?</w:t>
      </w:r>
      <w:r>
        <w:t xml:space="preserve"> </w:t>
      </w:r>
      <w:r>
        <w:t xml:space="preserve">A common homiletical narrowing treats 2 Samuel 11 as a passage about adultery and lust — a cautionary tale for sexual integrity. This reading is not wrong but is severely insufficient. The chapter is equally about the abuse of power, the murder of an innocent man, the sacrifice of Israelite soldiers to cover a king’s crime, and the structural corruption that unchecked authority produces. The sexual sin is the entry point; the murder is the culmination. Exposition that stops at lust has stopped too early. The narrator has crafted the chapter so that the sword of Joab’s withdrawal is the natural terminus of the desire David entertained on the roof.</w:t>
      </w:r>
    </w:p>
    <w:p>
      <w:pPr>
        <w:pStyle w:val="BodyText"/>
      </w:pPr>
      <w:r>
        <w:rPr>
          <w:b/>
          <w:bCs/>
        </w:rPr>
        <w:t xml:space="preserve">The Hittite as the chapter’s moral center.</w:t>
      </w:r>
      <w:r>
        <w:t xml:space="preserve"> </w:t>
      </w:r>
      <w:r>
        <w:t xml:space="preserve">Uriah’s refusal to go home is not incidental detail — it is the chapter’s moral center. Uriah the Hittite, a foreign convert and covenant soldier, keeps the law of holy war (cf. Deuteronomy 23:9-14; 1 Samuel 21:5) and the ethic of solidarity with his comrades with greater faithfulness than Israel’s king. The text invites the reader to see the profound irony: the Gentile warrior embodies Davidic covenant loyalty more fully than David himself. Reformed exposition should surface this — Uriah is not a foil, he is a mirror, and David’s corruption is exposed by contrast with the man he murders.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17:14-20</w:t>
      </w:r>
      <w:r>
        <w:t xml:space="preserve"> </w:t>
      </w:r>
      <w:r>
        <w:t xml:space="preserve">— The law of the king explicitly prohibits multiplying wives and warns against the king’s heart being lifted up above his brothers. David’s accumulation of wives and his use of royal power to take Bathsheba are precisely the corruptions this passage anticipates and forbids.</w:t>
      </w:r>
    </w:p>
    <w:p>
      <w:pPr>
        <w:numPr>
          <w:ilvl w:val="0"/>
          <w:numId w:val="1001"/>
        </w:numPr>
      </w:pPr>
      <w:r>
        <w:rPr>
          <w:b/>
          <w:bCs/>
        </w:rPr>
        <w:t xml:space="preserve">2 Samuel 12:1-15</w:t>
      </w:r>
      <w:r>
        <w:t xml:space="preserve"> </w:t>
      </w:r>
      <w:r>
        <w:t xml:space="preserve">— Nathan’s parable and prophetic confrontation complete the unit that chapter 11 opens. The rich man who takes the poor man’s one lamb is God’s own interpretation of what David did. Exposition of chapter 11 should keep Nathan’s verdict in the periphery throughout.</w:t>
      </w:r>
    </w:p>
    <w:p>
      <w:pPr>
        <w:numPr>
          <w:ilvl w:val="0"/>
          <w:numId w:val="1001"/>
        </w:numPr>
      </w:pPr>
      <w:r>
        <w:rPr>
          <w:b/>
          <w:bCs/>
        </w:rPr>
        <w:t xml:space="preserve">Proverbs 6:27-35</w:t>
      </w:r>
      <w:r>
        <w:t xml:space="preserve"> </w:t>
      </w:r>
      <w:r>
        <w:t xml:space="preserve">—</w:t>
      </w:r>
      <w:r>
        <w:t xml:space="preserve"> </w:t>
      </w:r>
      <w:r>
        <w:t xml:space="preserve">“Can a man carry fire next to his chest and his clothes not be burned?”</w:t>
      </w:r>
      <w:r>
        <w:t xml:space="preserve"> </w:t>
      </w:r>
      <w:r>
        <w:t xml:space="preserve">The wisdom tradition’s account of how adultery destroys not only its victims but its perpetrators provides theological commentary on the mechanism chapter 11 narrates.</w:t>
      </w:r>
    </w:p>
    <w:p>
      <w:pPr>
        <w:numPr>
          <w:ilvl w:val="0"/>
          <w:numId w:val="1001"/>
        </w:numPr>
      </w:pPr>
      <w:r>
        <w:rPr>
          <w:b/>
          <w:bCs/>
        </w:rPr>
        <w:t xml:space="preserve">Romans 13:13-14</w:t>
      </w:r>
      <w:r>
        <w:t xml:space="preserve"> </w:t>
      </w:r>
      <w:r>
        <w:t xml:space="preserve">— Paul’s instruction to</w:t>
      </w:r>
      <w:r>
        <w:t xml:space="preserve"> </w:t>
      </w:r>
      <w:r>
        <w:t xml:space="preserve">“make no provision for the flesh”</w:t>
      </w:r>
      <w:r>
        <w:t xml:space="preserve"> </w:t>
      </w:r>
      <w:r>
        <w:t xml:space="preserve">describes the opposite of what David does throughout this chapter — he makes every provision, clears every obstacle, eliminates every witness. David’s fall is the ultimate case study in what it looks like to provision desire rather than starve it.</w:t>
      </w:r>
    </w:p>
    <w:p>
      <w:pPr>
        <w:numPr>
          <w:ilvl w:val="0"/>
          <w:numId w:val="1001"/>
        </w:numPr>
      </w:pPr>
      <w:r>
        <w:rPr>
          <w:b/>
          <w:bCs/>
        </w:rPr>
        <w:t xml:space="preserve">James 1:14-15</w:t>
      </w:r>
      <w:r>
        <w:t xml:space="preserve"> </w:t>
      </w:r>
      <w:r>
        <w:t xml:space="preserve">—</w:t>
      </w:r>
      <w:r>
        <w:t xml:space="preserve"> </w:t>
      </w:r>
      <w:r>
        <w:t xml:space="preserve">“Each person is tempted when he is lured and enticed by his own desire. Then desire when it has conceived gives birth to sin, and sin when it is fully grown brings forth death.”</w:t>
      </w:r>
      <w:r>
        <w:t xml:space="preserve"> </w:t>
      </w:r>
      <w:r>
        <w:t xml:space="preserve">James 1 is almost an abstract of 2 Samuel 11 — desire conceived, sin born, death delivered.</w:t>
      </w:r>
    </w:p>
    <w:p>
      <w:r>
        <w:pict>
          <v:rect style="width:0;height:1.5pt" o:hralign="center" o:hrstd="t" o:hr="t"/>
        </w:pict>
      </w:r>
    </w:p>
    <w:p>
      <w:pPr>
        <w:pStyle w:val="FirstParagraph"/>
      </w:pPr>
      <w:r>
        <w:rPr>
          <w:b/>
          <w:bCs/>
        </w:rPr>
        <w:t xml:space="preserve">Aim:</w:t>
      </w:r>
      <w:r>
        <w:t xml:space="preserve"> </w:t>
      </w:r>
      <w:r>
        <w:t xml:space="preserve">To expose the full anatomy of sin through David’s fall so that hearers recognize sin’s escalating logic, refuse its first steps, and live soberly under the gaze of the God who sees everything.</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It is the season when kings go to war; David sends Joab and the army but remains in Jerusalem</w:t>
            </w:r>
          </w:p>
        </w:tc>
        <w:tc>
          <w:tcPr/>
          <w:p>
            <w:pPr>
              <w:pStyle w:val="Compact"/>
            </w:pPr>
            <w:r>
              <w:t xml:space="preserve">The structural signal: David is already out of place. The narrator frames the dereliction before the sin.</w:t>
            </w:r>
          </w:p>
        </w:tc>
      </w:tr>
      <w:tr>
        <w:tc>
          <w:tcPr/>
          <w:p>
            <w:pPr>
              <w:pStyle w:val="Compact"/>
            </w:pPr>
            <w:r>
              <w:t xml:space="preserve">2</w:t>
            </w:r>
          </w:p>
        </w:tc>
        <w:tc>
          <w:tcPr/>
          <w:p>
            <w:pPr>
              <w:pStyle w:val="Compact"/>
            </w:pPr>
            <w:r>
              <w:t xml:space="preserve">David rises late, walks on the roof, sees a woman bathing who is very beautiful</w:t>
            </w:r>
          </w:p>
        </w:tc>
        <w:tc>
          <w:tcPr/>
          <w:p>
            <w:pPr>
              <w:pStyle w:val="Compact"/>
            </w:pPr>
            <w:r>
              <w:t xml:space="preserve">“Late afternoon”</w:t>
            </w:r>
            <w:r>
              <w:t xml:space="preserve"> </w:t>
            </w:r>
            <w:r>
              <w:t xml:space="preserve">— David is idle at the wrong time. The look is the first step, not a passive occurrence.</w:t>
            </w:r>
          </w:p>
        </w:tc>
      </w:tr>
      <w:tr>
        <w:tc>
          <w:tcPr/>
          <w:p>
            <w:pPr>
              <w:pStyle w:val="Compact"/>
            </w:pPr>
            <w:r>
              <w:t xml:space="preserve">3</w:t>
            </w:r>
          </w:p>
        </w:tc>
        <w:tc>
          <w:tcPr/>
          <w:p>
            <w:pPr>
              <w:pStyle w:val="Compact"/>
            </w:pPr>
            <w:r>
              <w:t xml:space="preserve">David inquires about her; he is told she is Bathsheba, the wife of Uriah the Hittite</w:t>
            </w:r>
          </w:p>
        </w:tc>
        <w:tc>
          <w:tcPr/>
          <w:p>
            <w:pPr>
              <w:pStyle w:val="Compact"/>
            </w:pPr>
            <w:r>
              <w:t xml:space="preserve">He is explicitly informed she is married. The inquiry itself is the second step. The information is meant to stop him. It does not.</w:t>
            </w:r>
          </w:p>
        </w:tc>
      </w:tr>
      <w:tr>
        <w:tc>
          <w:tcPr/>
          <w:p>
            <w:pPr>
              <w:pStyle w:val="Compact"/>
            </w:pPr>
            <w:r>
              <w:t xml:space="preserve">4</w:t>
            </w:r>
          </w:p>
        </w:tc>
        <w:tc>
          <w:tcPr/>
          <w:p>
            <w:pPr>
              <w:pStyle w:val="Compact"/>
            </w:pPr>
            <w:r>
              <w:t xml:space="preserve">David sends messengers, takes her, lies with her; she returns home</w:t>
            </w:r>
          </w:p>
        </w:tc>
        <w:tc>
          <w:tcPr/>
          <w:p>
            <w:pPr>
              <w:pStyle w:val="Compact"/>
            </w:pPr>
            <w:r>
              <w:t xml:space="preserve">Three verbs: sent, took, lay. All initiative is David’s.</w:t>
            </w:r>
            <w:r>
              <w:t xml:space="preserve"> </w:t>
            </w:r>
            <w:r>
              <w:t xml:space="preserve">“She had been purifying herself”</w:t>
            </w:r>
            <w:r>
              <w:t xml:space="preserve"> </w:t>
            </w:r>
            <w:r>
              <w:t xml:space="preserve">— a parenthetical establishing she is not pregnant already.</w:t>
            </w:r>
          </w:p>
        </w:tc>
      </w:tr>
      <w:tr>
        <w:tc>
          <w:tcPr/>
          <w:p>
            <w:pPr>
              <w:pStyle w:val="Compact"/>
            </w:pPr>
            <w:r>
              <w:t xml:space="preserve">5</w:t>
            </w:r>
          </w:p>
        </w:tc>
        <w:tc>
          <w:tcPr/>
          <w:p>
            <w:pPr>
              <w:pStyle w:val="Compact"/>
            </w:pPr>
            <w:r>
              <w:t xml:space="preserve">Bathsheba sends word:</w:t>
            </w:r>
            <w:r>
              <w:t xml:space="preserve"> </w:t>
            </w:r>
            <w:r>
              <w:t xml:space="preserve">“I am pregnant”</w:t>
            </w:r>
          </w:p>
        </w:tc>
        <w:tc>
          <w:tcPr/>
          <w:p>
            <w:pPr>
              <w:pStyle w:val="Compact"/>
            </w:pPr>
            <w:r>
              <w:t xml:space="preserve">The consequence arrives. The cover-up must now begin.</w:t>
            </w:r>
          </w:p>
        </w:tc>
      </w:tr>
      <w:tr>
        <w:tc>
          <w:tcPr/>
          <w:p>
            <w:pPr>
              <w:pStyle w:val="Compact"/>
            </w:pPr>
            <w:r>
              <w:t xml:space="preserve">6</w:t>
            </w:r>
          </w:p>
        </w:tc>
        <w:tc>
          <w:tcPr/>
          <w:p>
            <w:pPr>
              <w:pStyle w:val="Compact"/>
            </w:pPr>
            <w:r>
              <w:t xml:space="preserve">David sends for Uriah from Joab’s camp</w:t>
            </w:r>
          </w:p>
        </w:tc>
        <w:tc>
          <w:tcPr/>
          <w:p>
            <w:pPr>
              <w:pStyle w:val="Compact"/>
            </w:pPr>
            <w:r>
              <w:t xml:space="preserve">Cover-up strategy one: use Uriah’s homecoming to conceal paternity.</w:t>
            </w:r>
          </w:p>
        </w:tc>
      </w:tr>
      <w:tr>
        <w:tc>
          <w:tcPr/>
          <w:p>
            <w:pPr>
              <w:pStyle w:val="Compact"/>
            </w:pPr>
            <w:r>
              <w:t xml:space="preserve">7</w:t>
            </w:r>
          </w:p>
        </w:tc>
        <w:tc>
          <w:tcPr/>
          <w:p>
            <w:pPr>
              <w:pStyle w:val="Compact"/>
            </w:pPr>
            <w:r>
              <w:t xml:space="preserve">David asks Uriah about the welfare of Joab, the army, and the war</w:t>
            </w:r>
          </w:p>
        </w:tc>
        <w:tc>
          <w:tcPr/>
          <w:p>
            <w:pPr>
              <w:pStyle w:val="Compact"/>
            </w:pPr>
            <w:r>
              <w:t xml:space="preserve">Feigned pastoral concern — David pretends to be a caring king.</w:t>
            </w:r>
          </w:p>
        </w:tc>
      </w:tr>
      <w:tr>
        <w:tc>
          <w:tcPr/>
          <w:p>
            <w:pPr>
              <w:pStyle w:val="Compact"/>
            </w:pPr>
            <w:r>
              <w:t xml:space="preserve">8</w:t>
            </w:r>
          </w:p>
        </w:tc>
        <w:tc>
          <w:tcPr/>
          <w:p>
            <w:pPr>
              <w:pStyle w:val="Compact"/>
            </w:pPr>
            <w:r>
              <w:t xml:space="preserve">David tells Uriah to go home and</w:t>
            </w:r>
            <w:r>
              <w:t xml:space="preserve"> </w:t>
            </w:r>
            <w:r>
              <w:t xml:space="preserve">“wash his feet”</w:t>
            </w:r>
            <w:r>
              <w:t xml:space="preserve"> </w:t>
            </w:r>
            <w:r>
              <w:t xml:space="preserve">— a euphemism for marital relations; a gift is sent after him</w:t>
            </w:r>
          </w:p>
        </w:tc>
        <w:tc>
          <w:tcPr/>
          <w:p>
            <w:pPr>
              <w:pStyle w:val="Compact"/>
            </w:pPr>
            <w:r>
              <w:t xml:space="preserve">The plan is transparent in its intent.</w:t>
            </w:r>
            <w:r>
              <w:t xml:space="preserve"> </w:t>
            </w:r>
            <w:r>
              <w:t xml:space="preserve">“Wash your feet”</w:t>
            </w:r>
            <w:r>
              <w:t xml:space="preserve"> </w:t>
            </w:r>
            <w:r>
              <w:t xml:space="preserve">is the setup.</w:t>
            </w:r>
          </w:p>
        </w:tc>
      </w:tr>
      <w:tr>
        <w:tc>
          <w:tcPr/>
          <w:p>
            <w:pPr>
              <w:pStyle w:val="Compact"/>
            </w:pPr>
            <w:r>
              <w:t xml:space="preserve">9</w:t>
            </w:r>
          </w:p>
        </w:tc>
        <w:tc>
          <w:tcPr/>
          <w:p>
            <w:pPr>
              <w:pStyle w:val="Compact"/>
            </w:pPr>
            <w:r>
              <w:t xml:space="preserve">Uriah sleeps at the palace door with David’s servants; he does not go home</w:t>
            </w:r>
          </w:p>
        </w:tc>
        <w:tc>
          <w:tcPr/>
          <w:p>
            <w:pPr>
              <w:pStyle w:val="Compact"/>
            </w:pPr>
            <w:r>
              <w:t xml:space="preserve">The first refusal.</w:t>
            </w:r>
          </w:p>
        </w:tc>
      </w:tr>
      <w:tr>
        <w:tc>
          <w:tcPr/>
          <w:p>
            <w:pPr>
              <w:pStyle w:val="Compact"/>
            </w:pPr>
            <w:r>
              <w:t xml:space="preserve">10</w:t>
            </w:r>
          </w:p>
        </w:tc>
        <w:tc>
          <w:tcPr/>
          <w:p>
            <w:pPr>
              <w:pStyle w:val="Compact"/>
            </w:pPr>
            <w:r>
              <w:t xml:space="preserve">David is told Uriah did not go home; David confronts him</w:t>
            </w:r>
          </w:p>
        </w:tc>
        <w:tc>
          <w:tcPr/>
          <w:p>
            <w:pPr>
              <w:pStyle w:val="Compact"/>
            </w:pPr>
            <w:r>
              <w:t xml:space="preserve">The cover-up is already failing.</w:t>
            </w:r>
          </w:p>
        </w:tc>
      </w:tr>
      <w:tr>
        <w:tc>
          <w:tcPr/>
          <w:p>
            <w:pPr>
              <w:pStyle w:val="Compact"/>
            </w:pPr>
            <w:r>
              <w:t xml:space="preserve">11</w:t>
            </w:r>
          </w:p>
        </w:tc>
        <w:tc>
          <w:tcPr/>
          <w:p>
            <w:pPr>
              <w:pStyle w:val="Compact"/>
            </w:pPr>
            <w:r>
              <w:t xml:space="preserve">Uriah explains: the ark, Israel, and Judah are in the field; he will not take ease while they are at war</w:t>
            </w:r>
          </w:p>
        </w:tc>
        <w:tc>
          <w:tcPr/>
          <w:p>
            <w:pPr>
              <w:pStyle w:val="Compact"/>
            </w:pPr>
            <w:r>
              <w:t xml:space="preserve">Uriah’s speech is the moral center of the chapter. He cites the covenant solidarity of holy war. The Hittite keeps Israel’s law more faithfully than Israel’s king.</w:t>
            </w:r>
          </w:p>
        </w:tc>
      </w:tr>
      <w:tr>
        <w:tc>
          <w:tcPr/>
          <w:p>
            <w:pPr>
              <w:pStyle w:val="Compact"/>
            </w:pPr>
            <w:r>
              <w:t xml:space="preserve">12–13</w:t>
            </w:r>
          </w:p>
        </w:tc>
        <w:tc>
          <w:tcPr/>
          <w:p>
            <w:pPr>
              <w:pStyle w:val="Compact"/>
            </w:pPr>
            <w:r>
              <w:t xml:space="preserve">David keeps Uriah in Jerusalem another day; gets him drunk; Uriah still does not go home</w:t>
            </w:r>
          </w:p>
        </w:tc>
        <w:tc>
          <w:tcPr/>
          <w:p>
            <w:pPr>
              <w:pStyle w:val="Compact"/>
            </w:pPr>
            <w:r>
              <w:t xml:space="preserve">Cover-up strategy two: alcohol. It fails. Uriah’s integrity survives David’s wine.</w:t>
            </w:r>
          </w:p>
        </w:tc>
      </w:tr>
      <w:tr>
        <w:tc>
          <w:tcPr/>
          <w:p>
            <w:pPr>
              <w:pStyle w:val="Compact"/>
            </w:pPr>
            <w:r>
              <w:t xml:space="preserve">14–15</w:t>
            </w:r>
          </w:p>
        </w:tc>
        <w:tc>
          <w:tcPr/>
          <w:p>
            <w:pPr>
              <w:pStyle w:val="Compact"/>
            </w:pPr>
            <w:r>
              <w:t xml:space="preserve">David writes a letter to Joab carried by Uriah: place him in the fiercest fighting, then withdraw so he is killed</w:t>
            </w:r>
          </w:p>
        </w:tc>
        <w:tc>
          <w:tcPr/>
          <w:p>
            <w:pPr>
              <w:pStyle w:val="Compact"/>
            </w:pPr>
            <w:r>
              <w:t xml:space="preserve">The letter is carried by its own victim. David has moved from adultery to premeditated murder.</w:t>
            </w:r>
          </w:p>
        </w:tc>
      </w:tr>
      <w:tr>
        <w:tc>
          <w:tcPr/>
          <w:p>
            <w:pPr>
              <w:pStyle w:val="Compact"/>
            </w:pPr>
            <w:r>
              <w:t xml:space="preserve">16–17</w:t>
            </w:r>
          </w:p>
        </w:tc>
        <w:tc>
          <w:tcPr/>
          <w:p>
            <w:pPr>
              <w:pStyle w:val="Compact"/>
            </w:pPr>
            <w:r>
              <w:t xml:space="preserve">Joab places Uriah at a dangerous position; Uriah and other Israelite soldiers die</w:t>
            </w:r>
          </w:p>
        </w:tc>
        <w:tc>
          <w:tcPr/>
          <w:p>
            <w:pPr>
              <w:pStyle w:val="Compact"/>
            </w:pPr>
            <w:r>
              <w:t xml:space="preserve">Uriah’s death costs other soldiers their lives. Sin’s destruction radiates outward.</w:t>
            </w:r>
          </w:p>
        </w:tc>
      </w:tr>
      <w:tr>
        <w:tc>
          <w:tcPr/>
          <w:p>
            <w:pPr>
              <w:pStyle w:val="Compact"/>
            </w:pPr>
            <w:r>
              <w:t xml:space="preserve">18–21</w:t>
            </w:r>
          </w:p>
        </w:tc>
        <w:tc>
          <w:tcPr/>
          <w:p>
            <w:pPr>
              <w:pStyle w:val="Compact"/>
            </w:pPr>
            <w:r>
              <w:t xml:space="preserve">Joab sends a report to David; he coaches the messenger on how to deliver the news of Uriah’s death</w:t>
            </w:r>
          </w:p>
        </w:tc>
        <w:tc>
          <w:tcPr/>
          <w:p>
            <w:pPr>
              <w:pStyle w:val="Compact"/>
            </w:pPr>
            <w:r>
              <w:t xml:space="preserve">Joab is now complicit and knows it. He knows how to package bad news for a guilty king.</w:t>
            </w:r>
          </w:p>
        </w:tc>
      </w:tr>
      <w:tr>
        <w:tc>
          <w:tcPr/>
          <w:p>
            <w:pPr>
              <w:pStyle w:val="Compact"/>
            </w:pPr>
            <w:r>
              <w:t xml:space="preserve">22–24</w:t>
            </w:r>
          </w:p>
        </w:tc>
        <w:tc>
          <w:tcPr/>
          <w:p>
            <w:pPr>
              <w:pStyle w:val="Compact"/>
            </w:pPr>
            <w:r>
              <w:t xml:space="preserve">The messenger delivers the report, including Uriah’s death</w:t>
            </w:r>
          </w:p>
        </w:tc>
        <w:tc>
          <w:tcPr/>
          <w:p>
            <w:pPr>
              <w:pStyle w:val="Compact"/>
            </w:pPr>
          </w:p>
        </w:tc>
      </w:tr>
      <w:tr>
        <w:tc>
          <w:tcPr/>
          <w:p>
            <w:pPr>
              <w:pStyle w:val="Compact"/>
            </w:pPr>
            <w:r>
              <w:t xml:space="preserve">25</w:t>
            </w:r>
          </w:p>
        </w:tc>
        <w:tc>
          <w:tcPr/>
          <w:p>
            <w:pPr>
              <w:pStyle w:val="Compact"/>
            </w:pPr>
            <w:r>
              <w:t xml:space="preserve">David’s response:</w:t>
            </w:r>
            <w:r>
              <w:t xml:space="preserve"> </w:t>
            </w:r>
            <w:r>
              <w:t xml:space="preserve">“Do not let this displease you — the sword devours one as well as another. Strengthen your attack.”</w:t>
            </w:r>
          </w:p>
        </w:tc>
        <w:tc>
          <w:tcPr/>
          <w:p>
            <w:pPr>
              <w:pStyle w:val="Compact"/>
            </w:pPr>
            <w:r>
              <w:t xml:space="preserve">The most chilling line in the chapter. David offers a soldier’s shrug about a murder he orchestrated. The pastoral is now purely performative.</w:t>
            </w:r>
          </w:p>
        </w:tc>
      </w:tr>
      <w:tr>
        <w:tc>
          <w:tcPr/>
          <w:p>
            <w:pPr>
              <w:pStyle w:val="Compact"/>
            </w:pPr>
            <w:r>
              <w:t xml:space="preserve">26</w:t>
            </w:r>
          </w:p>
        </w:tc>
        <w:tc>
          <w:tcPr/>
          <w:p>
            <w:pPr>
              <w:pStyle w:val="Compact"/>
            </w:pPr>
            <w:r>
              <w:t xml:space="preserve">Bathsheba mourns for Uriah</w:t>
            </w:r>
          </w:p>
        </w:tc>
        <w:tc>
          <w:tcPr/>
          <w:p>
            <w:pPr>
              <w:pStyle w:val="Compact"/>
            </w:pPr>
            <w:r>
              <w:t xml:space="preserve">A moment of grief the text honors without elaboration.</w:t>
            </w:r>
          </w:p>
        </w:tc>
      </w:tr>
      <w:tr>
        <w:tc>
          <w:tcPr/>
          <w:p>
            <w:pPr>
              <w:pStyle w:val="Compact"/>
            </w:pPr>
            <w:r>
              <w:t xml:space="preserve">27a</w:t>
            </w:r>
          </w:p>
        </w:tc>
        <w:tc>
          <w:tcPr/>
          <w:p>
            <w:pPr>
              <w:pStyle w:val="Compact"/>
            </w:pPr>
            <w:r>
              <w:t xml:space="preserve">After mourning, David takes Bathsheba as his wife; she bears him a son</w:t>
            </w:r>
          </w:p>
        </w:tc>
        <w:tc>
          <w:tcPr/>
          <w:p>
            <w:pPr>
              <w:pStyle w:val="Compact"/>
            </w:pPr>
            <w:r>
              <w:t xml:space="preserve">The cover-up appears complete. The marriage papers over the crime.</w:t>
            </w:r>
          </w:p>
        </w:tc>
      </w:tr>
      <w:tr>
        <w:tc>
          <w:tcPr/>
          <w:p>
            <w:pPr>
              <w:pStyle w:val="Compact"/>
            </w:pPr>
            <w:r>
              <w:t xml:space="preserve">27b</w:t>
            </w:r>
          </w:p>
        </w:tc>
        <w:tc>
          <w:tcPr/>
          <w:p>
            <w:pPr>
              <w:pStyle w:val="Compact"/>
            </w:pPr>
            <w:r>
              <w:t xml:space="preserve">“But the thing that David had done displeased the LORD”</w:t>
            </w:r>
          </w:p>
        </w:tc>
        <w:tc>
          <w:tcPr/>
          <w:p>
            <w:pPr>
              <w:pStyle w:val="Compact"/>
            </w:pPr>
            <w:r>
              <w:t xml:space="preserve">The chapter’s last word and its governing verdict. Nothing was hidden. Everything was seen.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w:t>
            </w:r>
          </w:p>
        </w:tc>
        <w:tc>
          <w:tcPr/>
          <w:p>
            <w:pPr>
              <w:pStyle w:val="Compact"/>
            </w:pPr>
            <w:r>
              <w:t xml:space="preserve">The King Who Stayed Home — Dereliction Before Desire</w:t>
            </w:r>
          </w:p>
        </w:tc>
      </w:tr>
      <w:tr>
        <w:tc>
          <w:tcPr/>
          <w:p>
            <w:pPr>
              <w:pStyle w:val="Compact"/>
            </w:pPr>
            <w:r>
              <w:t xml:space="preserve">2</w:t>
            </w:r>
          </w:p>
        </w:tc>
        <w:tc>
          <w:tcPr/>
          <w:p>
            <w:pPr>
              <w:pStyle w:val="Compact"/>
            </w:pPr>
            <w:r>
              <w:t xml:space="preserve">2–5</w:t>
            </w:r>
          </w:p>
        </w:tc>
        <w:tc>
          <w:tcPr/>
          <w:p>
            <w:pPr>
              <w:pStyle w:val="Compact"/>
            </w:pPr>
            <w:r>
              <w:t xml:space="preserve">The Anatomy of Desire — Looking, Inquiring, Taking, Conceiving</w:t>
            </w:r>
          </w:p>
        </w:tc>
      </w:tr>
      <w:tr>
        <w:tc>
          <w:tcPr/>
          <w:p>
            <w:pPr>
              <w:pStyle w:val="Compact"/>
            </w:pPr>
            <w:r>
              <w:t xml:space="preserve">3</w:t>
            </w:r>
          </w:p>
        </w:tc>
        <w:tc>
          <w:tcPr/>
          <w:p>
            <w:pPr>
              <w:pStyle w:val="Compact"/>
            </w:pPr>
            <w:r>
              <w:t xml:space="preserve">6–13</w:t>
            </w:r>
          </w:p>
        </w:tc>
        <w:tc>
          <w:tcPr/>
          <w:p>
            <w:pPr>
              <w:pStyle w:val="Compact"/>
            </w:pPr>
            <w:r>
              <w:t xml:space="preserve">The Machinery of Cover-Up — Two Failed Strategies</w:t>
            </w:r>
          </w:p>
        </w:tc>
      </w:tr>
      <w:tr>
        <w:tc>
          <w:tcPr/>
          <w:p>
            <w:pPr>
              <w:pStyle w:val="Compact"/>
            </w:pPr>
            <w:r>
              <w:t xml:space="preserve">4</w:t>
            </w:r>
          </w:p>
        </w:tc>
        <w:tc>
          <w:tcPr/>
          <w:p>
            <w:pPr>
              <w:pStyle w:val="Compact"/>
            </w:pPr>
            <w:r>
              <w:t xml:space="preserve">14–17</w:t>
            </w:r>
          </w:p>
        </w:tc>
        <w:tc>
          <w:tcPr/>
          <w:p>
            <w:pPr>
              <w:pStyle w:val="Compact"/>
            </w:pPr>
            <w:r>
              <w:t xml:space="preserve">The Death Warrant — From Adultery to Murder</w:t>
            </w:r>
          </w:p>
        </w:tc>
      </w:tr>
      <w:tr>
        <w:tc>
          <w:tcPr/>
          <w:p>
            <w:pPr>
              <w:pStyle w:val="Compact"/>
            </w:pPr>
            <w:r>
              <w:t xml:space="preserve">5</w:t>
            </w:r>
          </w:p>
        </w:tc>
        <w:tc>
          <w:tcPr/>
          <w:p>
            <w:pPr>
              <w:pStyle w:val="Compact"/>
            </w:pPr>
            <w:r>
              <w:t xml:space="preserve">18–25</w:t>
            </w:r>
          </w:p>
        </w:tc>
        <w:tc>
          <w:tcPr/>
          <w:p>
            <w:pPr>
              <w:pStyle w:val="Compact"/>
            </w:pPr>
            <w:r>
              <w:t xml:space="preserve">The Managed Report — Performance of Normalcy</w:t>
            </w:r>
          </w:p>
        </w:tc>
      </w:tr>
      <w:tr>
        <w:tc>
          <w:tcPr/>
          <w:p>
            <w:pPr>
              <w:pStyle w:val="Compact"/>
            </w:pPr>
            <w:r>
              <w:t xml:space="preserve">6</w:t>
            </w:r>
          </w:p>
        </w:tc>
        <w:tc>
          <w:tcPr/>
          <w:p>
            <w:pPr>
              <w:pStyle w:val="Compact"/>
            </w:pPr>
            <w:r>
              <w:t xml:space="preserve">26–27</w:t>
            </w:r>
          </w:p>
        </w:tc>
        <w:tc>
          <w:tcPr/>
          <w:p>
            <w:pPr>
              <w:pStyle w:val="Compact"/>
            </w:pPr>
            <w:r>
              <w:t xml:space="preserve">The Marriage That Covers Nothing — And the God Who Sees Everything</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David’s catastrophic fall — the anatomy of unchecked desire, compounding sin, and divine displeasure.</w:t>
      </w:r>
    </w:p>
    <w:p>
      <w:pPr>
        <w:pStyle w:val="BodyText"/>
      </w:pPr>
      <w:r>
        <w:rPr>
          <w:b/>
          <w:bCs/>
        </w:rPr>
        <w:t xml:space="preserve">Primary Claim:</w:t>
      </w:r>
      <w:r>
        <w:t xml:space="preserve"> </w:t>
      </w:r>
      <w:r>
        <w:t xml:space="preserve">God exposes through David’s fall the full internal logic of sin — how desire unchecked by fear of God escalates through deception into destruction of the innocent — so that the reader will see sin’s true nature, refuse its initial steps, and feel the weight of standing under God’s unsleeping gaze.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Sin does not arrive fully formed — it begins in small displacements that feel inconsequential.</w:t>
      </w:r>
      <w:r>
        <w:t xml:space="preserve"> </w:t>
      </w:r>
      <w:r>
        <w:rPr>
          <w:i/>
          <w:iCs/>
        </w:rPr>
        <w:t xml:space="preserve">(Mind/Belief)</w:t>
      </w:r>
      <w:r>
        <w:t xml:space="preserve"> </w:t>
      </w:r>
      <w:r>
        <w:t xml:space="preserve">David’s fall does not begin on the rooftop — it begins with staying home when kings go to war. The narrator places dereliction before desire deliberately. Most catastrophic sins in a believer’s life follow the same pattern: a series of small decisions to be in the wrong place, at the wrong time, with the wrong posture — each individually defensible, cumulatively catastrophic. The application is diagnostic: where have you arranged your life to be in the place where temptation finds you idle? Sin rarely kicks down the front door. It is usually invited through a window left open by negligence.</w:t>
      </w:r>
    </w:p>
    <w:p>
      <w:pPr>
        <w:pStyle w:val="BodyText"/>
      </w:pPr>
      <w:r>
        <w:rPr>
          <w:b/>
          <w:bCs/>
        </w:rPr>
        <w:t xml:space="preserve">2. The God who sees David on the rooftop sees you in your secret place — and his seeing is not surveillance but the presence of a holy Father who loves you too much to let you hide.</w:t>
      </w:r>
      <w:r>
        <w:t xml:space="preserve"> </w:t>
      </w:r>
      <w:r>
        <w:rPr>
          <w:i/>
          <w:iCs/>
        </w:rPr>
        <w:t xml:space="preserve">(Affections/Worship)</w:t>
      </w:r>
      <w:r>
        <w:t xml:space="preserve"> </w:t>
      </w:r>
      <w:r>
        <w:t xml:space="preserve">The chapter’s closing verdict —</w:t>
      </w:r>
      <w:r>
        <w:t xml:space="preserve"> </w:t>
      </w:r>
      <w:r>
        <w:t xml:space="preserve">“the thing that David had done displeased the LORD”</w:t>
      </w:r>
      <w:r>
        <w:t xml:space="preserve"> </w:t>
      </w:r>
      <w:r>
        <w:t xml:space="preserve">— is not a legal notation in a divine ledger. It is the response of a God who saw everything: the look, the inquiry, the letter, the dismissive shrug over Uriah’s grave. He saw it all and was displeased. But the same God who sees with displeasure will send Nathan in chapter 12 — because he has not abandoned David, only refused to pretend. The application is worshipful: do not fear God’s sight as a spy camera. Fear his sight as the gaze of a holy God who loves you and will not let your sin go unnamed, because unnamed sin destroys you. The answer to shame is not hiding — David hid for at least nine months, perhaps longer — the answer is the confession that God’s sight was already making inevitable.</w:t>
      </w:r>
    </w:p>
    <w:p>
      <w:pPr>
        <w:pStyle w:val="BodyText"/>
      </w:pPr>
      <w:r>
        <w:rPr>
          <w:b/>
          <w:bCs/>
        </w:rPr>
        <w:t xml:space="preserve">3. Recognize the escalation logic of sin before it recruits you into its machinery.</w:t>
      </w:r>
      <w:r>
        <w:t xml:space="preserve"> </w:t>
      </w:r>
      <w:r>
        <w:rPr>
          <w:i/>
          <w:iCs/>
        </w:rPr>
        <w:t xml:space="preserve">(Will/Behavior)</w:t>
      </w:r>
      <w:r>
        <w:t xml:space="preserve"> </w:t>
      </w:r>
      <w:r>
        <w:t xml:space="preserve">David did not plan to murder Uriah on the afternoon he saw Bathsheba. But the logic of sin, once engaged, has its own momentum. Desire produced deception. Deception required cover. Cover required complicity. Complicity required elimination. By the time the death warrant is written, David has traveled so far from the first step that murder feels like the only available move. The practical application is urgent: identify where you are in the escalation sequence</w:t>
      </w:r>
      <w:r>
        <w:t xml:space="preserve"> </w:t>
      </w:r>
      <w:r>
        <w:rPr>
          <w:i/>
          <w:iCs/>
        </w:rPr>
        <w:t xml:space="preserve">now</w:t>
      </w:r>
      <w:r>
        <w:t xml:space="preserve"> </w:t>
      </w:r>
      <w:r>
        <w:t xml:space="preserve">— not after the next step has been taken. The time to refuse is always earlier than it feels. The cover-up that seems necessary is always a product of the sin that seemed manageable. Get out before Joab is involved.</w:t>
      </w:r>
    </w:p>
    <w:p>
      <w:pPr>
        <w:pStyle w:val="BodyText"/>
      </w:pPr>
      <w:r>
        <w:rPr>
          <w:b/>
          <w:bCs/>
        </w:rPr>
        <w:t xml:space="preserve">4. The integrity of Uriah the Hittite exposes what David has forfeited — let the faithful conduct of others convict you before God does.</w:t>
      </w:r>
      <w:r>
        <w:t xml:space="preserve"> </w:t>
      </w:r>
      <w:r>
        <w:rPr>
          <w:i/>
          <w:iCs/>
        </w:rPr>
        <w:t xml:space="preserve">(Affections/Worship)</w:t>
      </w:r>
      <w:r>
        <w:t xml:space="preserve"> </w:t>
      </w:r>
      <w:r>
        <w:t xml:space="preserve">Uriah’s refusal to go home is one of the most spiritually luminous moments in the Old Testament — and it is given to a Gentile, a foreigner, a man whose loyalty to the covenant exceeds the covenant king’s. His words —</w:t>
      </w:r>
      <w:r>
        <w:t xml:space="preserve"> </w:t>
      </w:r>
      <w:r>
        <w:t xml:space="preserve">“the ark and Israel and Judah dwell in booths, and my lord Joab and the servants of my lord are camping in the open field. Shall I then go to my house, to eat and to drink and to lie with my wife?”</w:t>
      </w:r>
      <w:r>
        <w:t xml:space="preserve"> </w:t>
      </w:r>
      <w:r>
        <w:t xml:space="preserve">— are a rebuke David cannot answer and cannot survive. The application to affections: let the faithfulness you see in others — colleagues, spouses, friends who keep their word at cost to themselves — function as a holy mirror. Do not resent it. Let it produce grief over what you have abandoned and desire for what they embody.</w:t>
      </w:r>
    </w:p>
    <w:p>
      <w:pPr>
        <w:pStyle w:val="BodyText"/>
      </w:pPr>
      <w:r>
        <w:rPr>
          <w:b/>
          <w:bCs/>
        </w:rPr>
        <w:t xml:space="preserve">5. The</w:t>
      </w:r>
      <w:r>
        <w:rPr>
          <w:b/>
          <w:bCs/>
        </w:rPr>
        <w:t xml:space="preserve"> </w:t>
      </w:r>
      <w:r>
        <w:rPr>
          <w:b/>
          <w:bCs/>
        </w:rPr>
        <w:t xml:space="preserve">“sword devours one as well as another”</w:t>
      </w:r>
      <w:r>
        <w:rPr>
          <w:b/>
          <w:bCs/>
        </w:rPr>
        <w:t xml:space="preserve"> </w:t>
      </w:r>
      <w:r>
        <w:rPr>
          <w:b/>
          <w:bCs/>
        </w:rPr>
        <w:t xml:space="preserve">response is what spiritual callousness sounds like in practice — examine your pastoral language for the presence of God-displaced management.</w:t>
      </w:r>
      <w:r>
        <w:t xml:space="preserve"> </w:t>
      </w:r>
      <w:r>
        <w:rPr>
          <w:i/>
          <w:iCs/>
        </w:rPr>
        <w:t xml:space="preserve">(Mind/Belief)</w:t>
      </w:r>
      <w:r>
        <w:t xml:space="preserve"> </w:t>
      </w:r>
      <w:r>
        <w:t xml:space="preserve">David’s message to Joab’s messenger is the chapter’s most chilling line because it sounds almost reasonable. Soldiers die in war. What can you do? The sword is indiscriminate. But in David’s mouth, this is not wisdom — it is moral anesthesia. He is managing the situation, performing equanimity, and burying his guilt under the language of providence. The application for leaders, pastors, parents, and anyone who uses God-language to deflect rather than confess: examine the moments when you reach for theological language to manage a situation you should be owning.</w:t>
      </w:r>
      <w:r>
        <w:t xml:space="preserve"> </w:t>
      </w:r>
      <w:r>
        <w:t xml:space="preserve">“Everything happens for a reason,”</w:t>
      </w:r>
      <w:r>
        <w:t xml:space="preserve"> </w:t>
      </w:r>
      <w:r>
        <w:t xml:space="preserve">“God is sovereign,”</w:t>
      </w:r>
      <w:r>
        <w:t xml:space="preserve"> </w:t>
      </w:r>
      <w:r>
        <w:t xml:space="preserve">“the sword devours one as well as another”</w:t>
      </w:r>
      <w:r>
        <w:t xml:space="preserve"> </w:t>
      </w:r>
      <w:r>
        <w:t xml:space="preserve">— each of these can be true and also weaponized as a dodge. David’s callousness did not announce itself. Neither will yours.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This passage teaches that God is the unsleeping witness to every human act, including the acts of his most favored servants. The chapter does not record God speaking or acting until the final verse — and that restraint is itself the theological point. God watches as David looks, inquires, sends, takes, covers, murders, marries, and shrugs. His silence throughout is not absence — it is the silence of a witness building a case. The final verdict,</w:t>
      </w:r>
      <w:r>
        <w:t xml:space="preserve"> </w:t>
      </w:r>
      <w:r>
        <w:t xml:space="preserve">“the thing that David had done displeased the LORD,”</w:t>
      </w:r>
      <w:r>
        <w:t xml:space="preserve"> </w:t>
      </w:r>
      <w:r>
        <w:t xml:space="preserve">arrives after everything has been done, seen, and covered, demonstrating that no human cover story reaches the divine court. The passage also teaches that sin corrupts outward — Uriah dies, other soldiers die, Joab is made complicit, Bathsheba is bereaved, and a child will die. The text will not let sin remain a private matter between David and God. Sin always produces casualties in addition to its direct victims.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is one of Scripture’s most devastating exhibits of the doctrine of total depravity — not as a philosophical abstraction but as a biographical display. David is</w:t>
      </w:r>
      <w:r>
        <w:t xml:space="preserve"> </w:t>
      </w:r>
      <w:r>
        <w:t xml:space="preserve">“a man after God’s own heart”</w:t>
      </w:r>
      <w:r>
        <w:t xml:space="preserve"> </w:t>
      </w:r>
      <w:r>
        <w:t xml:space="preserve">(1 Samuel 13:14), a recipient of extraordinary covenant grace, a man who has written psalms of genuine devotion — and he is capable of this. The Reformed understanding refuses to locate sin’s power only in the unconverted heart; chapter 11 demonstrates that the regenerate heart, apart from the ongoing restraining and renewing work of the Spirit, is capable of extraordinary evil when desire is unchecked and power is unaccountable. Simultaneously, the passage is the dark background against which 2 Samuel 12’s gospel shines most brightly: the same God who pronounces displeasure will speak forgiveness through Nathan, and the trajectory from chapter 11 to Psalm 51 is the trajectory of grace. David’s fall is not the end of the covenant — it is the exhibition of why the covenant must be carried by a greater David, one in whom there is no dereliction, no rooftop, no letter, no shrug.</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thing David did — all of it, including the parts he thought no one saw — displeased the LORD. And the thing you are doing, or are considering, or have already done and covered over — he sees that too. Sin’s logic is always the same: a small displacement, then desire, then deception, then someone else paying the price. The question is not whether God is watching. The question is whether you will reckon with his gaze now, in chapter 11, or wait for Nathan to arrive in chapter 12.</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passage to a sermon on sexual integrity.</w:t>
      </w:r>
      <w:r>
        <w:t xml:space="preserve"> </w:t>
      </w:r>
      <w:r>
        <w:t xml:space="preserve">The most common homiletical failure with 2 Samuel 11 is treating it as primarily a lust-and-adultery text and drawing five applications about guarding your eyes. This reading is not false but is drastically insufficient. The chapter is equally about murder, abuse of power, institutional complicity (Joab), and the sacrifice of innocent soldiers. A sermon that ends at verse 5 — or treats verses 6-27 as extended illustration — has abandoned the text. The death of Uriah is the chapter’s culmination, not its footnote.</w:t>
      </w:r>
    </w:p>
    <w:p>
      <w:pPr>
        <w:numPr>
          <w:ilvl w:val="0"/>
          <w:numId w:val="1002"/>
        </w:numPr>
      </w:pPr>
      <w:r>
        <w:rPr>
          <w:b/>
          <w:bCs/>
        </w:rPr>
        <w:t xml:space="preserve">Moralizing the application as</w:t>
      </w:r>
      <w:r>
        <w:rPr>
          <w:b/>
          <w:bCs/>
        </w:rPr>
        <w:t xml:space="preserve"> </w:t>
      </w:r>
      <w:r>
        <w:rPr>
          <w:b/>
          <w:bCs/>
        </w:rPr>
        <w:t xml:space="preserve">“don’t do what David did.”</w:t>
      </w:r>
      <w:r>
        <w:t xml:space="preserve"> </w:t>
      </w:r>
      <w:r>
        <w:t xml:space="preserve">The anti-moralism principle applies directly here. Applications framed as</w:t>
      </w:r>
      <w:r>
        <w:t xml:space="preserve"> </w:t>
      </w:r>
      <w:r>
        <w:t xml:space="preserve">“be more like Uriah, less like David”</w:t>
      </w:r>
      <w:r>
        <w:t xml:space="preserve"> </w:t>
      </w:r>
      <w:r>
        <w:t xml:space="preserve">reduce the text to behavior modification and miss the passage’s theological weight. The applications should diagnose the interior logic of sin (desire, deception, destruction), invite the hearer to locate themselves in that sequence, and ultimately ground the call to repentance in the gospel of the God who sees and yet does not abandon — not merely in the negative example of David’s failure.</w:t>
      </w:r>
    </w:p>
    <w:p>
      <w:pPr>
        <w:numPr>
          <w:ilvl w:val="0"/>
          <w:numId w:val="1002"/>
        </w:numPr>
      </w:pPr>
      <w:r>
        <w:rPr>
          <w:b/>
          <w:bCs/>
        </w:rPr>
        <w:t xml:space="preserve">Distributing blame to Bathsheba.</w:t>
      </w:r>
      <w:r>
        <w:t xml:space="preserve"> </w:t>
      </w:r>
      <w:r>
        <w:t xml:space="preserve">Any exposition that suggests Bathsheba was complicit, seductive, or shares moral responsibility for the encounter is contradicted by the text’s own assignment of agency. The narrator gives every active verb to David. Expositors should not import what the text deliberately excludes.</w:t>
      </w:r>
    </w:p>
    <w:p>
      <w:pPr>
        <w:numPr>
          <w:ilvl w:val="0"/>
          <w:numId w:val="1002"/>
        </w:numPr>
      </w:pPr>
      <w:r>
        <w:rPr>
          <w:b/>
          <w:bCs/>
        </w:rPr>
        <w:t xml:space="preserve">Skipping the Uriah speech (v. 11) as background detail.</w:t>
      </w:r>
      <w:r>
        <w:t xml:space="preserve"> </w:t>
      </w:r>
      <w:r>
        <w:t xml:space="preserve">Verse 11 is the chapter’s moral and spiritual center, not a narrative transition. Uriah’s invocation of the ark, Israel, Judah, Joab, and his comrades is a theological statement about covenant solidarity and holy war ethics — and it comes from a Hittite. The expositor who passes over it in two sentences has missed the chapter’s sharpest irony: the Gentile models covenant faithfulness while the covenant king plots his murder.</w:t>
      </w:r>
    </w:p>
    <w:p>
      <w:pPr>
        <w:numPr>
          <w:ilvl w:val="0"/>
          <w:numId w:val="1002"/>
        </w:numPr>
      </w:pPr>
      <w:r>
        <w:rPr>
          <w:b/>
          <w:bCs/>
        </w:rPr>
        <w:t xml:space="preserve">Treating the final verse as a closing tag rather than the governing verdict.</w:t>
      </w:r>
      <w:r>
        <w:t xml:space="preserve"> </w:t>
      </w:r>
      <w:r>
        <w:t xml:space="preserve">“But the thing that David had done displeased the LORD”</w:t>
      </w:r>
      <w:r>
        <w:t xml:space="preserve"> </w:t>
      </w:r>
      <w:r>
        <w:t xml:space="preserve">must not be read as a transitional sentence introducing chapter 12. It is the chapter’s own theological verdict, its final word, its claim. It should govern every other section of the exposition. The entire chapter is narrated from this sentence’s point of view — God watching, God displeased, God about to act. Preachers who arrive at it hurriedly at the end have told the story wrong.</w:t>
      </w:r>
    </w:p>
    <w:p>
      <w:pPr>
        <w:numPr>
          <w:ilvl w:val="0"/>
          <w:numId w:val="1002"/>
        </w:numPr>
      </w:pPr>
      <w:r>
        <w:rPr>
          <w:b/>
          <w:bCs/>
        </w:rPr>
        <w:t xml:space="preserve">Preaching this passage without acknowledging the trajectory toward Psalm 51 and 2 Samuel 12.</w:t>
      </w:r>
      <w:r>
        <w:t xml:space="preserve"> </w:t>
      </w:r>
      <w:r>
        <w:t xml:space="preserve">Chapter 11 is a text of devastating indictment. But it cannot be preached as though David’s story ends here, because the Bible does not end here. The God who is displeased in verse 27 is the God who will send Nathan in 12:1, who will hear David’s confession, and who will say</w:t>
      </w:r>
      <w:r>
        <w:t xml:space="preserve"> </w:t>
      </w:r>
      <w:r>
        <w:t xml:space="preserve">“the LORD has put away your sin.”</w:t>
      </w:r>
      <w:r>
        <w:t xml:space="preserve"> </w:t>
      </w:r>
      <w:r>
        <w:t xml:space="preserve">Exposition that leaves hearers only under indictment without the trajectory of grace has given them the Law and withheld the Gospel. Chapter 11 demands chapter 12 — not as a softening of the verdict but as the demonstration that the God who sees sin also forgives it through the greater David who bore what David deserved.</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2026-07-14T21:02:48Z</dcterms:created>
  <dcterms:modified xsi:type="dcterms:W3CDTF">2026-07-14T21:02:48Z</dcterms:modified>
</cp:coreProperties>
</file>

<file path=docProps/custom.xml><?xml version="1.0" encoding="utf-8"?>
<Properties xmlns="http://schemas.openxmlformats.org/officeDocument/2006/custom-properties" xmlns:vt="http://schemas.openxmlformats.org/officeDocument/2006/docPropsVTypes"/>
</file>